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2190345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A" w14:textId="4199DB86" w:rsidR="00E13C27" w:rsidRPr="00CF1AA2" w:rsidRDefault="008F6665" w:rsidP="0039229F">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פ/3541/24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EA64BE4" w:rsidR="00E13C27" w:rsidRDefault="00A443CF" w:rsidP="0039229F">
      <w:pPr>
        <w:pStyle w:val="HeadHatzaotHok"/>
        <w:spacing w:line="240" w:lineRule="auto"/>
        <w:rPr>
          <w:rtl/>
        </w:rPr>
      </w:pPr>
      <w:bookmarkStart w:id="7" w:name="LGS_Subject"/>
      <w:r>
        <w:rPr>
          <w:rFonts w:hint="cs"/>
          <w:rtl/>
        </w:rPr>
        <w:t>הצעת חוק רישום רכב ניזוק שנמכר על ידי מבטח או תאגיד, התשפ"ב</w:t>
      </w:r>
      <w:r w:rsidR="0039229F" w:rsidRPr="006C6730">
        <w:rPr>
          <w:rtl/>
        </w:rPr>
        <w:t>–</w:t>
      </w:r>
      <w:r>
        <w:rPr>
          <w:rFonts w:hint="cs"/>
          <w:rtl/>
        </w:rPr>
        <w:t>2022</w:t>
      </w:r>
      <w:bookmarkEnd w:id="7"/>
    </w:p>
    <w:p w14:paraId="4CBA7651" w14:textId="77777777" w:rsidR="0039229F" w:rsidRPr="00F67051" w:rsidRDefault="0039229F" w:rsidP="0039229F">
      <w:pPr>
        <w:pStyle w:val="HeadHatzaotHok"/>
        <w:spacing w:line="240" w:lineRule="auto"/>
        <w:rPr>
          <w:rtl/>
        </w:rPr>
      </w:pPr>
      <w:bookmarkStart w:id="8" w:name="_GoBack"/>
      <w:bookmarkEnd w:id="8"/>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6163B4" w:rsidRPr="009B6659" w14:paraId="70D50859" w14:textId="77777777" w:rsidTr="00BE10F7">
        <w:trPr>
          <w:cantSplit/>
          <w:trHeight w:val="60"/>
        </w:trPr>
        <w:tc>
          <w:tcPr>
            <w:tcW w:w="1871" w:type="dxa"/>
          </w:tcPr>
          <w:p w14:paraId="3B7FB2F6" w14:textId="77777777" w:rsidR="006163B4" w:rsidRPr="0000589A" w:rsidRDefault="006163B4" w:rsidP="00BE10F7">
            <w:pPr>
              <w:pStyle w:val="TableSideHeading"/>
              <w:keepLines w:val="0"/>
              <w:rPr>
                <w:rtl/>
              </w:rPr>
            </w:pPr>
            <w:r w:rsidRPr="0000589A">
              <w:rPr>
                <w:rtl/>
              </w:rPr>
              <w:t xml:space="preserve">הגדרות </w:t>
            </w:r>
          </w:p>
        </w:tc>
        <w:tc>
          <w:tcPr>
            <w:tcW w:w="624" w:type="dxa"/>
          </w:tcPr>
          <w:p w14:paraId="2D015CA2" w14:textId="77777777" w:rsidR="006163B4" w:rsidRPr="00AB12CF" w:rsidRDefault="006163B4" w:rsidP="00BE10F7">
            <w:pPr>
              <w:pStyle w:val="TableBlock"/>
              <w:rPr>
                <w:rtl/>
              </w:rPr>
            </w:pPr>
            <w:r>
              <w:rPr>
                <w:rFonts w:hint="cs"/>
                <w:rtl/>
              </w:rPr>
              <w:t>1.</w:t>
            </w:r>
          </w:p>
        </w:tc>
        <w:tc>
          <w:tcPr>
            <w:tcW w:w="7146" w:type="dxa"/>
          </w:tcPr>
          <w:p w14:paraId="284B6E59" w14:textId="77777777" w:rsidR="006163B4" w:rsidRPr="001F2BE9" w:rsidRDefault="006163B4" w:rsidP="00BE10F7">
            <w:pPr>
              <w:pStyle w:val="TableHead"/>
              <w:jc w:val="left"/>
              <w:rPr>
                <w:b w:val="0"/>
                <w:bCs w:val="0"/>
                <w:rtl/>
              </w:rPr>
            </w:pPr>
            <w:r w:rsidRPr="001F2BE9">
              <w:rPr>
                <w:b w:val="0"/>
                <w:bCs w:val="0"/>
                <w:rtl/>
              </w:rPr>
              <w:t xml:space="preserve">בחוק זה </w:t>
            </w:r>
            <w:r>
              <w:rPr>
                <w:rFonts w:hint="eastAsia"/>
                <w:b w:val="0"/>
                <w:bCs w:val="0"/>
                <w:rtl/>
              </w:rPr>
              <w:t>–</w:t>
            </w:r>
          </w:p>
        </w:tc>
      </w:tr>
      <w:tr w:rsidR="006163B4" w:rsidRPr="009B6659" w14:paraId="2E2557C3" w14:textId="77777777" w:rsidTr="00BE10F7">
        <w:trPr>
          <w:cantSplit/>
          <w:trHeight w:val="60"/>
        </w:trPr>
        <w:tc>
          <w:tcPr>
            <w:tcW w:w="1871" w:type="dxa"/>
            <w:shd w:val="clear" w:color="auto" w:fill="auto"/>
          </w:tcPr>
          <w:p w14:paraId="37AE2B21" w14:textId="77777777" w:rsidR="006163B4" w:rsidRPr="0000589A" w:rsidRDefault="006163B4" w:rsidP="00BE10F7">
            <w:pPr>
              <w:pStyle w:val="TableSideHeading"/>
              <w:keepLines w:val="0"/>
              <w:rPr>
                <w:rtl/>
              </w:rPr>
            </w:pPr>
          </w:p>
        </w:tc>
        <w:tc>
          <w:tcPr>
            <w:tcW w:w="624" w:type="dxa"/>
            <w:shd w:val="clear" w:color="auto" w:fill="auto"/>
          </w:tcPr>
          <w:p w14:paraId="2FB960F0" w14:textId="77777777" w:rsidR="006163B4" w:rsidRPr="00AB12CF" w:rsidRDefault="006163B4" w:rsidP="00BE10F7">
            <w:pPr>
              <w:pStyle w:val="TableBlock"/>
              <w:rPr>
                <w:rtl/>
              </w:rPr>
            </w:pPr>
          </w:p>
        </w:tc>
        <w:tc>
          <w:tcPr>
            <w:tcW w:w="7146" w:type="dxa"/>
          </w:tcPr>
          <w:p w14:paraId="75C8A9C1" w14:textId="1993A881" w:rsidR="006163B4" w:rsidRPr="00AE4DC6" w:rsidRDefault="006163B4" w:rsidP="004C4395">
            <w:pPr>
              <w:pStyle w:val="TableBlockOutdent"/>
              <w:rPr>
                <w:rtl/>
              </w:rPr>
            </w:pPr>
            <w:r w:rsidRPr="006C6730">
              <w:rPr>
                <w:rtl/>
              </w:rPr>
              <w:t>"מבטח" – כהגדרתו בחוק הפיקוח על שירותים פיננס</w:t>
            </w:r>
            <w:r>
              <w:rPr>
                <w:rFonts w:hint="cs"/>
                <w:rtl/>
              </w:rPr>
              <w:t>י</w:t>
            </w:r>
            <w:r w:rsidRPr="006C6730">
              <w:rPr>
                <w:rtl/>
              </w:rPr>
              <w:t>ים (ביטוח), התשמ"א</w:t>
            </w:r>
            <w:r w:rsidRPr="006C6730">
              <w:rPr>
                <w:rFonts w:hint="eastAsia"/>
                <w:rtl/>
              </w:rPr>
              <w:t>–</w:t>
            </w:r>
            <w:r w:rsidRPr="006C6730">
              <w:rPr>
                <w:rtl/>
              </w:rPr>
              <w:t>1981</w:t>
            </w:r>
            <w:r>
              <w:rPr>
                <w:rStyle w:val="a5"/>
                <w:rtl/>
              </w:rPr>
              <w:footnoteReference w:id="2"/>
            </w:r>
            <w:r w:rsidRPr="006C6730">
              <w:rPr>
                <w:rtl/>
              </w:rPr>
              <w:t xml:space="preserve"> או כהגדרתו בחוק הגבלת השימוש ורישום פעולות בחלקי </w:t>
            </w:r>
            <w:r w:rsidR="004C4395">
              <w:rPr>
                <w:rFonts w:hint="cs"/>
                <w:rtl/>
              </w:rPr>
              <w:t>רכב</w:t>
            </w:r>
            <w:r w:rsidR="004C4395" w:rsidRPr="006C6730">
              <w:rPr>
                <w:rtl/>
              </w:rPr>
              <w:t xml:space="preserve"> </w:t>
            </w:r>
            <w:r w:rsidRPr="006C6730">
              <w:rPr>
                <w:rtl/>
              </w:rPr>
              <w:t xml:space="preserve">משומשים (מניעת גניבות), </w:t>
            </w:r>
            <w:r w:rsidRPr="006C6730">
              <w:rPr>
                <w:rFonts w:hint="eastAsia"/>
                <w:rtl/>
              </w:rPr>
              <w:t>ה</w:t>
            </w:r>
            <w:r w:rsidRPr="006C6730">
              <w:rPr>
                <w:rtl/>
              </w:rPr>
              <w:t>תשנ"ח</w:t>
            </w:r>
            <w:r w:rsidRPr="006C6730">
              <w:rPr>
                <w:rFonts w:hint="eastAsia"/>
                <w:rtl/>
              </w:rPr>
              <w:t>–</w:t>
            </w:r>
            <w:r w:rsidRPr="006C6730">
              <w:rPr>
                <w:rtl/>
              </w:rPr>
              <w:t>1998</w:t>
            </w:r>
            <w:r>
              <w:rPr>
                <w:rStyle w:val="a5"/>
                <w:rtl/>
              </w:rPr>
              <w:footnoteReference w:id="3"/>
            </w:r>
            <w:r w:rsidRPr="00AE4DC6">
              <w:rPr>
                <w:rtl/>
              </w:rPr>
              <w:t>;</w:t>
            </w:r>
          </w:p>
        </w:tc>
      </w:tr>
      <w:tr w:rsidR="006163B4" w:rsidRPr="009B6659" w14:paraId="7877F2C3" w14:textId="77777777" w:rsidTr="00BE10F7">
        <w:trPr>
          <w:cantSplit/>
          <w:trHeight w:val="60"/>
        </w:trPr>
        <w:tc>
          <w:tcPr>
            <w:tcW w:w="1871" w:type="dxa"/>
            <w:shd w:val="clear" w:color="auto" w:fill="auto"/>
          </w:tcPr>
          <w:p w14:paraId="69A4970C" w14:textId="77777777" w:rsidR="006163B4" w:rsidRPr="0000589A" w:rsidRDefault="006163B4" w:rsidP="00BE10F7">
            <w:pPr>
              <w:pStyle w:val="TableSideHeading"/>
              <w:keepLines w:val="0"/>
              <w:rPr>
                <w:rtl/>
              </w:rPr>
            </w:pPr>
          </w:p>
        </w:tc>
        <w:tc>
          <w:tcPr>
            <w:tcW w:w="624" w:type="dxa"/>
            <w:shd w:val="clear" w:color="auto" w:fill="auto"/>
          </w:tcPr>
          <w:p w14:paraId="6A43A4F0" w14:textId="77777777" w:rsidR="006163B4" w:rsidRDefault="006163B4" w:rsidP="00BE10F7">
            <w:pPr>
              <w:pStyle w:val="TableText"/>
              <w:rPr>
                <w:rtl/>
              </w:rPr>
            </w:pPr>
          </w:p>
        </w:tc>
        <w:tc>
          <w:tcPr>
            <w:tcW w:w="7146" w:type="dxa"/>
          </w:tcPr>
          <w:p w14:paraId="401B7583" w14:textId="77777777" w:rsidR="006163B4" w:rsidRPr="00AE4DC6" w:rsidRDefault="006163B4" w:rsidP="00BE10F7">
            <w:pPr>
              <w:pStyle w:val="TableBlockOutdent"/>
              <w:rPr>
                <w:rtl/>
              </w:rPr>
            </w:pPr>
            <w:r w:rsidRPr="00AE4DC6">
              <w:rPr>
                <w:rtl/>
              </w:rPr>
              <w:t xml:space="preserve">"נזק" – נזק ישיר שנגרם לרכב </w:t>
            </w:r>
            <w:r>
              <w:rPr>
                <w:rFonts w:hint="cs"/>
                <w:rtl/>
              </w:rPr>
              <w:t>ל</w:t>
            </w:r>
            <w:r w:rsidRPr="00AE4DC6">
              <w:rPr>
                <w:rtl/>
              </w:rPr>
              <w:t xml:space="preserve">לא קשר למפורט בכל פוליסת ביטוח שהוצאה לגבי הרכב, למעט ירידת ערך;  </w:t>
            </w:r>
          </w:p>
        </w:tc>
      </w:tr>
      <w:tr w:rsidR="006163B4" w:rsidRPr="009B6659" w14:paraId="6CD389CA" w14:textId="77777777" w:rsidTr="00BE10F7">
        <w:trPr>
          <w:cantSplit/>
          <w:trHeight w:val="60"/>
        </w:trPr>
        <w:tc>
          <w:tcPr>
            <w:tcW w:w="1871" w:type="dxa"/>
            <w:shd w:val="clear" w:color="auto" w:fill="auto"/>
          </w:tcPr>
          <w:p w14:paraId="2CA90A51" w14:textId="77777777" w:rsidR="006163B4" w:rsidRDefault="006163B4" w:rsidP="00BE10F7">
            <w:pPr>
              <w:pStyle w:val="TableSideHeading"/>
              <w:keepLines w:val="0"/>
              <w:rPr>
                <w:rtl/>
              </w:rPr>
            </w:pPr>
          </w:p>
        </w:tc>
        <w:tc>
          <w:tcPr>
            <w:tcW w:w="624" w:type="dxa"/>
            <w:shd w:val="clear" w:color="auto" w:fill="auto"/>
          </w:tcPr>
          <w:p w14:paraId="6BFD996B" w14:textId="77777777" w:rsidR="006163B4" w:rsidRDefault="006163B4" w:rsidP="00BE10F7">
            <w:pPr>
              <w:pStyle w:val="TableText"/>
              <w:rPr>
                <w:rtl/>
              </w:rPr>
            </w:pPr>
          </w:p>
        </w:tc>
        <w:tc>
          <w:tcPr>
            <w:tcW w:w="7146" w:type="dxa"/>
          </w:tcPr>
          <w:p w14:paraId="7AF38F76" w14:textId="77777777" w:rsidR="006163B4" w:rsidRPr="00AE4DC6" w:rsidRDefault="006163B4" w:rsidP="00BE10F7">
            <w:pPr>
              <w:pStyle w:val="TableBlockOutdent"/>
              <w:rPr>
                <w:rtl/>
              </w:rPr>
            </w:pPr>
            <w:r w:rsidRPr="00AE4DC6">
              <w:rPr>
                <w:rtl/>
              </w:rPr>
              <w:t>"עוסק ברכב" – עוסק כהגדרתו בחוק מכירת רכב משומש (זכאות למידע וגילוי נאות), התשס"ח</w:t>
            </w:r>
            <w:r w:rsidRPr="00AE4DC6">
              <w:rPr>
                <w:rFonts w:hint="eastAsia"/>
                <w:rtl/>
              </w:rPr>
              <w:t>–</w:t>
            </w:r>
            <w:r w:rsidRPr="00AE4DC6">
              <w:rPr>
                <w:rtl/>
              </w:rPr>
              <w:t>2008</w:t>
            </w:r>
            <w:r>
              <w:rPr>
                <w:rStyle w:val="a5"/>
                <w:rtl/>
              </w:rPr>
              <w:footnoteReference w:id="4"/>
            </w:r>
            <w:r w:rsidRPr="00AE4DC6">
              <w:rPr>
                <w:rtl/>
              </w:rPr>
              <w:t>;</w:t>
            </w:r>
          </w:p>
        </w:tc>
      </w:tr>
      <w:tr w:rsidR="006163B4" w:rsidRPr="009B6659" w14:paraId="289303EF" w14:textId="77777777" w:rsidTr="00BE10F7">
        <w:trPr>
          <w:cantSplit/>
          <w:trHeight w:val="60"/>
        </w:trPr>
        <w:tc>
          <w:tcPr>
            <w:tcW w:w="1871" w:type="dxa"/>
            <w:shd w:val="clear" w:color="auto" w:fill="auto"/>
          </w:tcPr>
          <w:p w14:paraId="0A5A0831" w14:textId="77777777" w:rsidR="006163B4" w:rsidRDefault="006163B4" w:rsidP="00BE10F7">
            <w:pPr>
              <w:pStyle w:val="TableSideHeading"/>
              <w:keepLines w:val="0"/>
              <w:rPr>
                <w:rtl/>
              </w:rPr>
            </w:pPr>
          </w:p>
        </w:tc>
        <w:tc>
          <w:tcPr>
            <w:tcW w:w="624" w:type="dxa"/>
            <w:shd w:val="clear" w:color="auto" w:fill="auto"/>
          </w:tcPr>
          <w:p w14:paraId="3AF8F261" w14:textId="77777777" w:rsidR="006163B4" w:rsidRDefault="006163B4" w:rsidP="00BE10F7">
            <w:pPr>
              <w:pStyle w:val="TableText"/>
              <w:rPr>
                <w:rtl/>
              </w:rPr>
            </w:pPr>
          </w:p>
        </w:tc>
        <w:tc>
          <w:tcPr>
            <w:tcW w:w="7146" w:type="dxa"/>
          </w:tcPr>
          <w:p w14:paraId="7B773E03" w14:textId="77777777" w:rsidR="006163B4" w:rsidRPr="00AE4DC6" w:rsidRDefault="006163B4" w:rsidP="00BE10F7">
            <w:pPr>
              <w:pStyle w:val="TableBlockOutdent"/>
              <w:rPr>
                <w:rtl/>
              </w:rPr>
            </w:pPr>
            <w:r w:rsidRPr="00AE4DC6">
              <w:rPr>
                <w:rtl/>
              </w:rPr>
              <w:t xml:space="preserve">"רכב" </w:t>
            </w:r>
            <w:r w:rsidRPr="00AE4DC6">
              <w:rPr>
                <w:rFonts w:hint="eastAsia"/>
                <w:rtl/>
              </w:rPr>
              <w:t>–</w:t>
            </w:r>
            <w:r w:rsidRPr="00AE4DC6">
              <w:rPr>
                <w:rtl/>
              </w:rPr>
              <w:t xml:space="preserve"> כהגדרתו בפקודת התעבורה</w:t>
            </w:r>
            <w:r>
              <w:rPr>
                <w:rStyle w:val="a5"/>
                <w:rtl/>
              </w:rPr>
              <w:footnoteReference w:id="5"/>
            </w:r>
            <w:r w:rsidRPr="00AE4DC6">
              <w:rPr>
                <w:rtl/>
              </w:rPr>
              <w:t>;</w:t>
            </w:r>
          </w:p>
        </w:tc>
      </w:tr>
      <w:tr w:rsidR="006163B4" w:rsidRPr="009B6659" w14:paraId="6A02C887" w14:textId="77777777" w:rsidTr="00BE10F7">
        <w:trPr>
          <w:cantSplit/>
          <w:trHeight w:val="60"/>
        </w:trPr>
        <w:tc>
          <w:tcPr>
            <w:tcW w:w="1871" w:type="dxa"/>
            <w:shd w:val="clear" w:color="auto" w:fill="auto"/>
          </w:tcPr>
          <w:p w14:paraId="2B0AB1A1" w14:textId="77777777" w:rsidR="006163B4" w:rsidRDefault="006163B4" w:rsidP="00BE10F7">
            <w:pPr>
              <w:pStyle w:val="TableSideHeading"/>
              <w:keepLines w:val="0"/>
              <w:rPr>
                <w:rtl/>
              </w:rPr>
            </w:pPr>
          </w:p>
        </w:tc>
        <w:tc>
          <w:tcPr>
            <w:tcW w:w="624" w:type="dxa"/>
            <w:shd w:val="clear" w:color="auto" w:fill="auto"/>
          </w:tcPr>
          <w:p w14:paraId="544D441B" w14:textId="77777777" w:rsidR="006163B4" w:rsidRDefault="006163B4" w:rsidP="00BE10F7">
            <w:pPr>
              <w:pStyle w:val="TableText"/>
              <w:rPr>
                <w:rtl/>
              </w:rPr>
            </w:pPr>
          </w:p>
        </w:tc>
        <w:tc>
          <w:tcPr>
            <w:tcW w:w="7146" w:type="dxa"/>
          </w:tcPr>
          <w:p w14:paraId="333A98C0" w14:textId="77777777" w:rsidR="006163B4" w:rsidRPr="00AE4DC6" w:rsidRDefault="006163B4" w:rsidP="00BE10F7">
            <w:pPr>
              <w:pStyle w:val="TableBlockOutdent"/>
              <w:rPr>
                <w:rtl/>
              </w:rPr>
            </w:pPr>
            <w:r w:rsidRPr="00AE4DC6">
              <w:rPr>
                <w:rtl/>
              </w:rPr>
              <w:t xml:space="preserve">"רכב ניזוק" – רכב שנגרם לו נזק בשיעור </w:t>
            </w:r>
            <w:r w:rsidRPr="00AE4DC6">
              <w:rPr>
                <w:rFonts w:hint="eastAsia"/>
                <w:rtl/>
              </w:rPr>
              <w:t>שבין</w:t>
            </w:r>
            <w:r w:rsidRPr="00AE4DC6">
              <w:rPr>
                <w:rtl/>
              </w:rPr>
              <w:t xml:space="preserve"> 50 אחוזים ל-60 אחוזים </w:t>
            </w:r>
            <w:r w:rsidRPr="00AE4DC6">
              <w:rPr>
                <w:rFonts w:hint="eastAsia"/>
                <w:rtl/>
              </w:rPr>
              <w:t>מער</w:t>
            </w:r>
            <w:r>
              <w:rPr>
                <w:rFonts w:hint="cs"/>
                <w:rtl/>
              </w:rPr>
              <w:t>כו</w:t>
            </w:r>
            <w:r w:rsidRPr="00AE4DC6">
              <w:rPr>
                <w:rtl/>
              </w:rPr>
              <w:t xml:space="preserve">; </w:t>
            </w:r>
          </w:p>
        </w:tc>
      </w:tr>
      <w:tr w:rsidR="006163B4" w:rsidRPr="009B6659" w14:paraId="037AF8D0" w14:textId="77777777" w:rsidTr="00BE10F7">
        <w:trPr>
          <w:cantSplit/>
          <w:trHeight w:val="60"/>
        </w:trPr>
        <w:tc>
          <w:tcPr>
            <w:tcW w:w="1871" w:type="dxa"/>
            <w:shd w:val="clear" w:color="auto" w:fill="auto"/>
          </w:tcPr>
          <w:p w14:paraId="07D3C787" w14:textId="77777777" w:rsidR="006163B4" w:rsidRDefault="006163B4" w:rsidP="00BE10F7">
            <w:pPr>
              <w:pStyle w:val="TableSideHeading"/>
              <w:keepLines w:val="0"/>
              <w:rPr>
                <w:rtl/>
              </w:rPr>
            </w:pPr>
          </w:p>
        </w:tc>
        <w:tc>
          <w:tcPr>
            <w:tcW w:w="624" w:type="dxa"/>
            <w:shd w:val="clear" w:color="auto" w:fill="auto"/>
          </w:tcPr>
          <w:p w14:paraId="629A2968" w14:textId="77777777" w:rsidR="006163B4" w:rsidRDefault="006163B4" w:rsidP="00BE10F7">
            <w:pPr>
              <w:pStyle w:val="TableText"/>
              <w:rPr>
                <w:rtl/>
              </w:rPr>
            </w:pPr>
          </w:p>
        </w:tc>
        <w:tc>
          <w:tcPr>
            <w:tcW w:w="7146" w:type="dxa"/>
          </w:tcPr>
          <w:p w14:paraId="4F3370CB" w14:textId="77777777" w:rsidR="006163B4" w:rsidRPr="00AE4DC6" w:rsidRDefault="006163B4" w:rsidP="00BE10F7">
            <w:pPr>
              <w:pStyle w:val="TableBlockOutdent"/>
              <w:rPr>
                <w:rtl/>
              </w:rPr>
            </w:pPr>
            <w:r w:rsidRPr="00AE4DC6">
              <w:rPr>
                <w:rtl/>
              </w:rPr>
              <w:t>"רשות הרישוי"</w:t>
            </w:r>
            <w:r>
              <w:rPr>
                <w:rFonts w:hint="cs"/>
                <w:rtl/>
              </w:rPr>
              <w:t xml:space="preserve"> </w:t>
            </w:r>
            <w:r>
              <w:rPr>
                <w:rFonts w:hint="eastAsia"/>
                <w:rtl/>
              </w:rPr>
              <w:t>–</w:t>
            </w:r>
            <w:r w:rsidRPr="00AE4DC6">
              <w:rPr>
                <w:rtl/>
              </w:rPr>
              <w:t xml:space="preserve"> כהגדרתה בפקודת התעבורה;</w:t>
            </w:r>
          </w:p>
        </w:tc>
      </w:tr>
      <w:tr w:rsidR="006163B4" w:rsidRPr="009B6659" w14:paraId="1B4A5507" w14:textId="77777777" w:rsidTr="00BE10F7">
        <w:trPr>
          <w:cantSplit/>
          <w:trHeight w:val="60"/>
        </w:trPr>
        <w:tc>
          <w:tcPr>
            <w:tcW w:w="1871" w:type="dxa"/>
            <w:shd w:val="clear" w:color="auto" w:fill="auto"/>
          </w:tcPr>
          <w:p w14:paraId="1FA7E79B" w14:textId="77777777" w:rsidR="006163B4" w:rsidRDefault="006163B4" w:rsidP="00BE10F7">
            <w:pPr>
              <w:pStyle w:val="TableSideHeading"/>
              <w:keepLines w:val="0"/>
              <w:rPr>
                <w:rtl/>
              </w:rPr>
            </w:pPr>
          </w:p>
        </w:tc>
        <w:tc>
          <w:tcPr>
            <w:tcW w:w="624" w:type="dxa"/>
            <w:shd w:val="clear" w:color="auto" w:fill="auto"/>
          </w:tcPr>
          <w:p w14:paraId="076CE6F3" w14:textId="77777777" w:rsidR="006163B4" w:rsidRDefault="006163B4" w:rsidP="00BE10F7">
            <w:pPr>
              <w:pStyle w:val="TableText"/>
              <w:rPr>
                <w:rtl/>
              </w:rPr>
            </w:pPr>
          </w:p>
        </w:tc>
        <w:tc>
          <w:tcPr>
            <w:tcW w:w="7146" w:type="dxa"/>
          </w:tcPr>
          <w:p w14:paraId="77E4B03F" w14:textId="77777777" w:rsidR="006163B4" w:rsidRPr="00AE4DC6" w:rsidRDefault="006163B4" w:rsidP="00BE10F7">
            <w:pPr>
              <w:pStyle w:val="TableBlockOutdent"/>
              <w:rPr>
                <w:rtl/>
              </w:rPr>
            </w:pPr>
            <w:r w:rsidRPr="00AE4DC6">
              <w:rPr>
                <w:rtl/>
              </w:rPr>
              <w:t>"תאגיד" –</w:t>
            </w:r>
            <w:r>
              <w:rPr>
                <w:rFonts w:hint="cs"/>
                <w:rtl/>
              </w:rPr>
              <w:t xml:space="preserve"> </w:t>
            </w:r>
            <w:r w:rsidRPr="00AE4DC6">
              <w:rPr>
                <w:rtl/>
              </w:rPr>
              <w:t xml:space="preserve">תאגיד שבבעלותו 25 כלי רכב לפחות שאינם מבוטחים בפוליסת רכב (רכוש) (בעל צי רכב) המוכר רכב שניזוק בתאונה, בין שהרכב </w:t>
            </w:r>
            <w:r w:rsidRPr="00AE4DC6">
              <w:rPr>
                <w:rFonts w:hint="eastAsia"/>
                <w:rtl/>
              </w:rPr>
              <w:t>היה</w:t>
            </w:r>
            <w:r w:rsidRPr="00AE4DC6">
              <w:rPr>
                <w:rtl/>
              </w:rPr>
              <w:t xml:space="preserve"> בבעלותו ובין שהי</w:t>
            </w:r>
            <w:r w:rsidRPr="00AE4DC6">
              <w:rPr>
                <w:rFonts w:hint="eastAsia"/>
                <w:rtl/>
              </w:rPr>
              <w:t>תה</w:t>
            </w:r>
            <w:r w:rsidRPr="00AE4DC6">
              <w:rPr>
                <w:rtl/>
              </w:rPr>
              <w:t xml:space="preserve"> לו זכות בעלות ברכב מכוח הסכם עם בעל הרכב או מכוח הוראה על פי דין.</w:t>
            </w:r>
          </w:p>
        </w:tc>
      </w:tr>
      <w:tr w:rsidR="006163B4" w:rsidRPr="009B6659" w14:paraId="06EF017A" w14:textId="77777777" w:rsidTr="00BE10F7">
        <w:trPr>
          <w:cantSplit/>
          <w:trHeight w:val="60"/>
        </w:trPr>
        <w:tc>
          <w:tcPr>
            <w:tcW w:w="1871" w:type="dxa"/>
          </w:tcPr>
          <w:p w14:paraId="0DACB601" w14:textId="77777777" w:rsidR="006163B4" w:rsidRPr="0000589A" w:rsidRDefault="006163B4" w:rsidP="00BE10F7">
            <w:pPr>
              <w:pStyle w:val="TableSideHeading"/>
              <w:keepLines w:val="0"/>
              <w:rPr>
                <w:rtl/>
              </w:rPr>
            </w:pPr>
            <w:r w:rsidRPr="0000589A">
              <w:rPr>
                <w:rtl/>
              </w:rPr>
              <w:lastRenderedPageBreak/>
              <w:t xml:space="preserve"> חובת דיווח של מבטח או תאגיד</w:t>
            </w:r>
          </w:p>
        </w:tc>
        <w:tc>
          <w:tcPr>
            <w:tcW w:w="624" w:type="dxa"/>
          </w:tcPr>
          <w:p w14:paraId="35CEEA47" w14:textId="77777777" w:rsidR="006163B4" w:rsidRPr="0000589A" w:rsidRDefault="006163B4" w:rsidP="00BE10F7">
            <w:pPr>
              <w:pStyle w:val="TableText"/>
              <w:keepLines w:val="0"/>
              <w:rPr>
                <w:rtl/>
              </w:rPr>
            </w:pPr>
            <w:r>
              <w:rPr>
                <w:rFonts w:hint="cs"/>
                <w:rtl/>
              </w:rPr>
              <w:t>2.</w:t>
            </w:r>
          </w:p>
        </w:tc>
        <w:tc>
          <w:tcPr>
            <w:tcW w:w="7146" w:type="dxa"/>
          </w:tcPr>
          <w:p w14:paraId="5DFE7C2F" w14:textId="77777777" w:rsidR="006163B4" w:rsidRPr="00436B05" w:rsidRDefault="006163B4" w:rsidP="00BE10F7">
            <w:pPr>
              <w:pStyle w:val="TableBlock"/>
              <w:rPr>
                <w:rtl/>
              </w:rPr>
            </w:pPr>
            <w:r w:rsidRPr="00436B05">
              <w:rPr>
                <w:rtl/>
              </w:rPr>
              <w:t>מבטח</w:t>
            </w:r>
            <w:r w:rsidRPr="00436B05">
              <w:rPr>
                <w:rFonts w:hint="cs"/>
                <w:rtl/>
              </w:rPr>
              <w:t xml:space="preserve">, </w:t>
            </w:r>
            <w:r w:rsidRPr="00436B05">
              <w:rPr>
                <w:rtl/>
              </w:rPr>
              <w:t xml:space="preserve">תאגיד או עוסק ברכב, ידווח לרשות הרישוי על </w:t>
            </w:r>
            <w:r w:rsidRPr="00436B05">
              <w:rPr>
                <w:rFonts w:hint="cs"/>
                <w:rtl/>
              </w:rPr>
              <w:t>מכירת רכב ניזוק שהיה בבעלותו</w:t>
            </w:r>
            <w:r w:rsidRPr="00436B05">
              <w:rPr>
                <w:rtl/>
              </w:rPr>
              <w:t xml:space="preserve"> או </w:t>
            </w:r>
            <w:r w:rsidRPr="00436B05">
              <w:rPr>
                <w:rFonts w:hint="cs"/>
                <w:rtl/>
              </w:rPr>
              <w:t xml:space="preserve">על </w:t>
            </w:r>
            <w:r w:rsidRPr="00436B05">
              <w:rPr>
                <w:rtl/>
              </w:rPr>
              <w:t>סחר ברכב ניזוק</w:t>
            </w:r>
            <w:r w:rsidRPr="00436B05">
              <w:rPr>
                <w:rFonts w:hint="cs"/>
                <w:rtl/>
              </w:rPr>
              <w:t xml:space="preserve"> כאמור </w:t>
            </w:r>
            <w:r w:rsidRPr="00436B05">
              <w:rPr>
                <w:rtl/>
              </w:rPr>
              <w:t>לצ</w:t>
            </w:r>
            <w:r w:rsidRPr="00436B05">
              <w:rPr>
                <w:rFonts w:hint="cs"/>
                <w:rtl/>
              </w:rPr>
              <w:t>ד ג', לא יאוחר ממועד הגשת הבקשה לרישום העברת הבעלות ברכב.</w:t>
            </w:r>
          </w:p>
        </w:tc>
      </w:tr>
      <w:tr w:rsidR="006163B4" w:rsidRPr="009B6659" w14:paraId="276F1049" w14:textId="77777777" w:rsidTr="00BE10F7">
        <w:trPr>
          <w:cantSplit/>
          <w:trHeight w:val="60"/>
        </w:trPr>
        <w:tc>
          <w:tcPr>
            <w:tcW w:w="1871" w:type="dxa"/>
          </w:tcPr>
          <w:p w14:paraId="1A18561A" w14:textId="77777777" w:rsidR="006163B4" w:rsidRPr="0000589A" w:rsidRDefault="006163B4" w:rsidP="00BE10F7">
            <w:pPr>
              <w:pStyle w:val="TableSideHeading"/>
              <w:keepLines w:val="0"/>
              <w:rPr>
                <w:rtl/>
              </w:rPr>
            </w:pPr>
            <w:r w:rsidRPr="0000589A">
              <w:rPr>
                <w:rtl/>
              </w:rPr>
              <w:t>חובת רישום נזק ברישיון הרכב</w:t>
            </w:r>
          </w:p>
        </w:tc>
        <w:tc>
          <w:tcPr>
            <w:tcW w:w="624" w:type="dxa"/>
          </w:tcPr>
          <w:p w14:paraId="32ABE070" w14:textId="77777777" w:rsidR="006163B4" w:rsidRPr="0000589A" w:rsidRDefault="006163B4" w:rsidP="00BE10F7">
            <w:pPr>
              <w:pStyle w:val="TableText"/>
              <w:keepLines w:val="0"/>
              <w:rPr>
                <w:rtl/>
              </w:rPr>
            </w:pPr>
            <w:r>
              <w:rPr>
                <w:rFonts w:hint="cs"/>
                <w:rtl/>
              </w:rPr>
              <w:t>3.</w:t>
            </w:r>
          </w:p>
        </w:tc>
        <w:tc>
          <w:tcPr>
            <w:tcW w:w="7146" w:type="dxa"/>
          </w:tcPr>
          <w:p w14:paraId="06CDFCFC" w14:textId="77777777" w:rsidR="006163B4" w:rsidRPr="001F2BE9" w:rsidRDefault="006163B4" w:rsidP="00BE10F7">
            <w:pPr>
              <w:pStyle w:val="TableHead"/>
              <w:jc w:val="left"/>
              <w:rPr>
                <w:rStyle w:val="default"/>
                <w:rFonts w:cs="David"/>
                <w:b w:val="0"/>
                <w:bCs w:val="0"/>
                <w:rtl/>
              </w:rPr>
            </w:pPr>
            <w:r>
              <w:rPr>
                <w:rFonts w:hint="cs"/>
                <w:b w:val="0"/>
                <w:bCs w:val="0"/>
                <w:rtl/>
              </w:rPr>
              <w:t>(א)</w:t>
            </w:r>
            <w:r>
              <w:rPr>
                <w:b w:val="0"/>
                <w:bCs w:val="0"/>
                <w:rtl/>
              </w:rPr>
              <w:tab/>
            </w:r>
            <w:r w:rsidRPr="001F2BE9">
              <w:rPr>
                <w:b w:val="0"/>
                <w:bCs w:val="0"/>
                <w:rtl/>
              </w:rPr>
              <w:t xml:space="preserve">רשות הרישוי תרשום הערה ברישיון הרכב </w:t>
            </w:r>
            <w:r>
              <w:rPr>
                <w:rFonts w:hint="cs"/>
                <w:b w:val="0"/>
                <w:bCs w:val="0"/>
                <w:rtl/>
              </w:rPr>
              <w:t>ש</w:t>
            </w:r>
            <w:r w:rsidRPr="001F2BE9">
              <w:rPr>
                <w:b w:val="0"/>
                <w:bCs w:val="0"/>
                <w:rtl/>
              </w:rPr>
              <w:t>ב</w:t>
            </w:r>
            <w:r>
              <w:rPr>
                <w:rFonts w:hint="cs"/>
                <w:b w:val="0"/>
                <w:bCs w:val="0"/>
                <w:rtl/>
              </w:rPr>
              <w:t>ה</w:t>
            </w:r>
            <w:r w:rsidRPr="001F2BE9">
              <w:rPr>
                <w:b w:val="0"/>
                <w:bCs w:val="0"/>
                <w:rtl/>
              </w:rPr>
              <w:t xml:space="preserve"> ייכתב "הרכב נמכר עם נזק". </w:t>
            </w:r>
          </w:p>
        </w:tc>
      </w:tr>
      <w:tr w:rsidR="006163B4" w:rsidRPr="009B6659" w14:paraId="0527D8A7" w14:textId="77777777" w:rsidTr="00BE10F7">
        <w:trPr>
          <w:cantSplit/>
          <w:trHeight w:val="60"/>
        </w:trPr>
        <w:tc>
          <w:tcPr>
            <w:tcW w:w="1871" w:type="dxa"/>
          </w:tcPr>
          <w:p w14:paraId="6AD097F5" w14:textId="77777777" w:rsidR="006163B4" w:rsidRDefault="006163B4" w:rsidP="00BE10F7">
            <w:pPr>
              <w:pStyle w:val="TableSideHeading"/>
              <w:keepLines w:val="0"/>
              <w:rPr>
                <w:rtl/>
              </w:rPr>
            </w:pPr>
          </w:p>
        </w:tc>
        <w:tc>
          <w:tcPr>
            <w:tcW w:w="624" w:type="dxa"/>
          </w:tcPr>
          <w:p w14:paraId="5F62913B" w14:textId="77777777" w:rsidR="006163B4" w:rsidRDefault="006163B4" w:rsidP="00BE10F7">
            <w:pPr>
              <w:pStyle w:val="TableText"/>
              <w:keepLines w:val="0"/>
              <w:rPr>
                <w:rtl/>
              </w:rPr>
            </w:pPr>
          </w:p>
        </w:tc>
        <w:tc>
          <w:tcPr>
            <w:tcW w:w="7146" w:type="dxa"/>
          </w:tcPr>
          <w:p w14:paraId="636A6EC1" w14:textId="77777777" w:rsidR="006163B4" w:rsidRDefault="006163B4" w:rsidP="00BE10F7">
            <w:pPr>
              <w:pStyle w:val="TableBlock"/>
              <w:rPr>
                <w:rtl/>
              </w:rPr>
            </w:pPr>
            <w:r>
              <w:rPr>
                <w:rFonts w:hint="cs"/>
                <w:rtl/>
              </w:rPr>
              <w:t>(ב)</w:t>
            </w:r>
            <w:r>
              <w:rPr>
                <w:rtl/>
              </w:rPr>
              <w:tab/>
            </w:r>
            <w:r>
              <w:rPr>
                <w:rFonts w:hint="cs"/>
                <w:rtl/>
              </w:rPr>
              <w:t>רישום הערה לפי סעיף קטן (א) יתבצע בתוך 48 שעות ממועד הדיווח.</w:t>
            </w:r>
          </w:p>
        </w:tc>
      </w:tr>
      <w:tr w:rsidR="006163B4" w14:paraId="1586233B" w14:textId="77777777" w:rsidTr="00BE10F7">
        <w:trPr>
          <w:cantSplit/>
          <w:trHeight w:val="60"/>
        </w:trPr>
        <w:tc>
          <w:tcPr>
            <w:tcW w:w="1871" w:type="dxa"/>
          </w:tcPr>
          <w:p w14:paraId="64AF3FC7" w14:textId="77777777" w:rsidR="006163B4" w:rsidRDefault="006163B4" w:rsidP="00BE10F7">
            <w:pPr>
              <w:pStyle w:val="TableSideHeading"/>
              <w:keepLines w:val="0"/>
            </w:pPr>
            <w:r>
              <w:rPr>
                <w:rtl/>
              </w:rPr>
              <w:t xml:space="preserve">חובת </w:t>
            </w:r>
            <w:r>
              <w:rPr>
                <w:rFonts w:hint="cs"/>
                <w:rtl/>
              </w:rPr>
              <w:t xml:space="preserve">חידוש </w:t>
            </w:r>
            <w:r>
              <w:rPr>
                <w:rtl/>
              </w:rPr>
              <w:t xml:space="preserve">רישוי רכב </w:t>
            </w:r>
          </w:p>
        </w:tc>
        <w:tc>
          <w:tcPr>
            <w:tcW w:w="624" w:type="dxa"/>
          </w:tcPr>
          <w:p w14:paraId="322EAF94" w14:textId="77777777" w:rsidR="006163B4" w:rsidRDefault="006163B4" w:rsidP="00BE10F7">
            <w:pPr>
              <w:pStyle w:val="TableText"/>
              <w:keepLines w:val="0"/>
            </w:pPr>
            <w:r>
              <w:rPr>
                <w:rFonts w:hint="cs"/>
                <w:rtl/>
              </w:rPr>
              <w:t>4.</w:t>
            </w:r>
          </w:p>
        </w:tc>
        <w:tc>
          <w:tcPr>
            <w:tcW w:w="7146" w:type="dxa"/>
          </w:tcPr>
          <w:p w14:paraId="44128506" w14:textId="27F1DF1F" w:rsidR="006163B4" w:rsidRPr="00436B05" w:rsidRDefault="006163B4" w:rsidP="004C4395">
            <w:pPr>
              <w:pStyle w:val="TableBlock"/>
            </w:pPr>
            <w:r w:rsidRPr="00436B05">
              <w:rPr>
                <w:rFonts w:hint="cs"/>
                <w:rtl/>
              </w:rPr>
              <w:t>תאגיד, מבטח או עוסק ברכב המוכר רכב ניזוק</w:t>
            </w:r>
            <w:r w:rsidRPr="00436B05">
              <w:rPr>
                <w:rtl/>
              </w:rPr>
              <w:t xml:space="preserve">, </w:t>
            </w:r>
            <w:r w:rsidR="004C4395">
              <w:rPr>
                <w:rFonts w:hint="cs"/>
                <w:rtl/>
              </w:rPr>
              <w:t>יחדש</w:t>
            </w:r>
            <w:r w:rsidRPr="00436B05">
              <w:rPr>
                <w:rFonts w:hint="cs"/>
                <w:rtl/>
              </w:rPr>
              <w:t xml:space="preserve"> את</w:t>
            </w:r>
            <w:r w:rsidRPr="00436B05">
              <w:rPr>
                <w:rtl/>
              </w:rPr>
              <w:t xml:space="preserve"> רישיון</w:t>
            </w:r>
            <w:r w:rsidRPr="00436B05">
              <w:rPr>
                <w:rFonts w:hint="cs"/>
                <w:rtl/>
              </w:rPr>
              <w:t xml:space="preserve"> הרכב</w:t>
            </w:r>
            <w:r w:rsidRPr="00436B05">
              <w:rPr>
                <w:rtl/>
              </w:rPr>
              <w:t xml:space="preserve"> ו</w:t>
            </w:r>
            <w:r w:rsidR="004C4395">
              <w:rPr>
                <w:rFonts w:hint="cs"/>
                <w:rtl/>
              </w:rPr>
              <w:t>י</w:t>
            </w:r>
            <w:r w:rsidRPr="00436B05">
              <w:rPr>
                <w:rFonts w:hint="cs"/>
                <w:rtl/>
              </w:rPr>
              <w:t xml:space="preserve">בצע </w:t>
            </w:r>
            <w:r w:rsidRPr="00436B05">
              <w:rPr>
                <w:rtl/>
              </w:rPr>
              <w:t>בדיקת כש</w:t>
            </w:r>
            <w:r w:rsidRPr="00436B05">
              <w:rPr>
                <w:rFonts w:hint="cs"/>
                <w:rtl/>
              </w:rPr>
              <w:t>י</w:t>
            </w:r>
            <w:r w:rsidRPr="00436B05">
              <w:rPr>
                <w:rtl/>
              </w:rPr>
              <w:t>רותו לתנועה</w:t>
            </w:r>
            <w:r w:rsidR="004C4395">
              <w:rPr>
                <w:rFonts w:hint="cs"/>
                <w:rtl/>
              </w:rPr>
              <w:t>,</w:t>
            </w:r>
            <w:r w:rsidRPr="00436B05">
              <w:rPr>
                <w:rtl/>
              </w:rPr>
              <w:t xml:space="preserve"> בהתאם </w:t>
            </w:r>
            <w:r w:rsidR="004C4395">
              <w:rPr>
                <w:rFonts w:hint="cs"/>
                <w:rtl/>
              </w:rPr>
              <w:t>להוראות כל דין.</w:t>
            </w:r>
            <w:r w:rsidRPr="00436B05">
              <w:rPr>
                <w:rtl/>
              </w:rPr>
              <w:t xml:space="preserve">  </w:t>
            </w:r>
          </w:p>
        </w:tc>
      </w:tr>
      <w:tr w:rsidR="006163B4" w14:paraId="096DA573" w14:textId="77777777" w:rsidTr="00BE10F7">
        <w:trPr>
          <w:cantSplit/>
          <w:trHeight w:val="60"/>
        </w:trPr>
        <w:tc>
          <w:tcPr>
            <w:tcW w:w="1871" w:type="dxa"/>
          </w:tcPr>
          <w:p w14:paraId="56023F10" w14:textId="77777777" w:rsidR="006163B4" w:rsidRDefault="006163B4" w:rsidP="00BE10F7">
            <w:pPr>
              <w:pStyle w:val="TableSideHeading"/>
              <w:keepLines w:val="0"/>
              <w:rPr>
                <w:rtl/>
              </w:rPr>
            </w:pPr>
            <w:r>
              <w:rPr>
                <w:rtl/>
              </w:rPr>
              <w:t>עונשין</w:t>
            </w:r>
          </w:p>
        </w:tc>
        <w:tc>
          <w:tcPr>
            <w:tcW w:w="624" w:type="dxa"/>
          </w:tcPr>
          <w:p w14:paraId="2F3A1E3B" w14:textId="77777777" w:rsidR="006163B4" w:rsidRDefault="006163B4" w:rsidP="00BE10F7">
            <w:pPr>
              <w:pStyle w:val="TableText"/>
              <w:keepLines w:val="0"/>
              <w:rPr>
                <w:rtl/>
              </w:rPr>
            </w:pPr>
            <w:r>
              <w:rPr>
                <w:rFonts w:hint="cs"/>
                <w:rtl/>
              </w:rPr>
              <w:t>5.</w:t>
            </w:r>
          </w:p>
        </w:tc>
        <w:tc>
          <w:tcPr>
            <w:tcW w:w="7146" w:type="dxa"/>
          </w:tcPr>
          <w:p w14:paraId="63A699F8" w14:textId="77777777" w:rsidR="006163B4" w:rsidRPr="00436B05" w:rsidRDefault="006163B4" w:rsidP="00BE10F7">
            <w:pPr>
              <w:pStyle w:val="TableBlock"/>
              <w:rPr>
                <w:rtl/>
              </w:rPr>
            </w:pPr>
            <w:r w:rsidRPr="00436B05">
              <w:rPr>
                <w:rtl/>
              </w:rPr>
              <w:t>העובר על הוראות חוק זה</w:t>
            </w:r>
            <w:r>
              <w:rPr>
                <w:rFonts w:hint="cs"/>
                <w:rtl/>
              </w:rPr>
              <w:t>,</w:t>
            </w:r>
            <w:r w:rsidRPr="00436B05">
              <w:rPr>
                <w:rtl/>
              </w:rPr>
              <w:t xml:space="preserve"> דינו</w:t>
            </w:r>
            <w:r w:rsidRPr="00436B05">
              <w:rPr>
                <w:rFonts w:hint="cs"/>
                <w:rtl/>
              </w:rPr>
              <w:t xml:space="preserve"> </w:t>
            </w:r>
            <w:r w:rsidRPr="00436B05">
              <w:rPr>
                <w:rFonts w:hint="eastAsia"/>
                <w:rtl/>
              </w:rPr>
              <w:t>–</w:t>
            </w:r>
            <w:r w:rsidRPr="00436B05">
              <w:rPr>
                <w:rtl/>
              </w:rPr>
              <w:t xml:space="preserve"> קנס פי שבעה מהקנס כאמור בסעיף </w:t>
            </w:r>
            <w:r w:rsidRPr="00436B05">
              <w:rPr>
                <w:rFonts w:hint="cs"/>
                <w:rtl/>
              </w:rPr>
              <w:t>61(א)(2)</w:t>
            </w:r>
            <w:r w:rsidRPr="00436B05">
              <w:rPr>
                <w:rtl/>
              </w:rPr>
              <w:t xml:space="preserve"> לחוק העונשין, התשל"ז</w:t>
            </w:r>
            <w:r w:rsidRPr="00436B05">
              <w:rPr>
                <w:rFonts w:hint="cs"/>
                <w:rtl/>
              </w:rPr>
              <w:t>–1977</w:t>
            </w:r>
            <w:r w:rsidRPr="00190E39">
              <w:rPr>
                <w:szCs w:val="20"/>
                <w:rtl/>
              </w:rPr>
              <w:footnoteReference w:id="6"/>
            </w:r>
            <w:r w:rsidRPr="00436B05">
              <w:rPr>
                <w:rFonts w:hint="cs"/>
                <w:rtl/>
              </w:rPr>
              <w:t>.</w:t>
            </w:r>
            <w:r w:rsidRPr="00436B05">
              <w:rPr>
                <w:rtl/>
              </w:rPr>
              <w:t xml:space="preserve"> </w:t>
            </w:r>
          </w:p>
        </w:tc>
      </w:tr>
      <w:tr w:rsidR="006163B4" w14:paraId="3BA2D171" w14:textId="77777777" w:rsidTr="00BE10F7">
        <w:trPr>
          <w:cantSplit/>
          <w:trHeight w:val="60"/>
        </w:trPr>
        <w:tc>
          <w:tcPr>
            <w:tcW w:w="1871" w:type="dxa"/>
          </w:tcPr>
          <w:p w14:paraId="4E70E4E6" w14:textId="77777777" w:rsidR="006163B4" w:rsidRDefault="006163B4" w:rsidP="00BE10F7">
            <w:pPr>
              <w:pStyle w:val="TableSideHeading"/>
              <w:keepLines w:val="0"/>
              <w:rPr>
                <w:rtl/>
              </w:rPr>
            </w:pPr>
            <w:r>
              <w:rPr>
                <w:rtl/>
              </w:rPr>
              <w:t>ביצוע ותקנות</w:t>
            </w:r>
          </w:p>
        </w:tc>
        <w:tc>
          <w:tcPr>
            <w:tcW w:w="624" w:type="dxa"/>
          </w:tcPr>
          <w:p w14:paraId="5C0A2744" w14:textId="77777777" w:rsidR="006163B4" w:rsidRDefault="006163B4" w:rsidP="00BE10F7">
            <w:pPr>
              <w:pStyle w:val="TableText"/>
              <w:keepLines w:val="0"/>
              <w:rPr>
                <w:rtl/>
              </w:rPr>
            </w:pPr>
            <w:r>
              <w:rPr>
                <w:rFonts w:hint="cs"/>
                <w:rtl/>
              </w:rPr>
              <w:t>6.</w:t>
            </w:r>
          </w:p>
        </w:tc>
        <w:tc>
          <w:tcPr>
            <w:tcW w:w="7146" w:type="dxa"/>
          </w:tcPr>
          <w:p w14:paraId="0C914222" w14:textId="77777777" w:rsidR="006163B4" w:rsidRPr="00436B05" w:rsidRDefault="006163B4" w:rsidP="00BE10F7">
            <w:pPr>
              <w:pStyle w:val="TableBlock"/>
              <w:rPr>
                <w:rtl/>
              </w:rPr>
            </w:pPr>
            <w:r w:rsidRPr="00436B05">
              <w:rPr>
                <w:rtl/>
              </w:rPr>
              <w:t>שר התחבורה והבטיחות בדרכים ממונה על ביצוע חוק זה, והוא רשאי באישור ועדת הכלכלה של הכנסת, להתקין תקנות לביצועו, לרבות בעניין תשלום אגרת חידוש רישוי רכב</w:t>
            </w:r>
            <w:r w:rsidRPr="00436B05">
              <w:rPr>
                <w:rFonts w:hint="cs"/>
                <w:rtl/>
              </w:rPr>
              <w:t xml:space="preserve"> שניזוק</w:t>
            </w:r>
            <w:r w:rsidRPr="00436B05">
              <w:rPr>
                <w:rtl/>
              </w:rPr>
              <w:t xml:space="preserve">. </w:t>
            </w:r>
          </w:p>
        </w:tc>
      </w:tr>
    </w:tbl>
    <w:p w14:paraId="7049B3A4" w14:textId="77777777" w:rsidR="006163B4" w:rsidRDefault="006163B4" w:rsidP="006163B4">
      <w:pPr>
        <w:pStyle w:val="HesberHeading"/>
        <w:rPr>
          <w:rtl/>
        </w:rPr>
      </w:pPr>
    </w:p>
    <w:p w14:paraId="567D8161" w14:textId="77777777" w:rsidR="006163B4" w:rsidRDefault="006163B4" w:rsidP="006163B4">
      <w:pPr>
        <w:pStyle w:val="HesberHeading"/>
        <w:rPr>
          <w:rtl/>
        </w:rPr>
      </w:pPr>
    </w:p>
    <w:p w14:paraId="27D9482C" w14:textId="77777777" w:rsidR="006163B4" w:rsidRDefault="006163B4" w:rsidP="006163B4">
      <w:pPr>
        <w:pStyle w:val="HeadDivreiHesber"/>
        <w:spacing w:before="200"/>
        <w:rPr>
          <w:rtl/>
        </w:rPr>
      </w:pPr>
      <w:r w:rsidRPr="0027450A">
        <w:rPr>
          <w:rFonts w:hint="cs"/>
          <w:rtl/>
        </w:rPr>
        <w:t>דברי הסבר</w:t>
      </w:r>
    </w:p>
    <w:p w14:paraId="44AF1175" w14:textId="77777777" w:rsidR="006163B4" w:rsidRDefault="006163B4" w:rsidP="006163B4">
      <w:pPr>
        <w:pStyle w:val="Hesber"/>
        <w:rPr>
          <w:rtl/>
        </w:rPr>
      </w:pPr>
      <w:r w:rsidRPr="00477512">
        <w:rPr>
          <w:rtl/>
        </w:rPr>
        <w:t>כלי רכב רבים שניזוקו באופן קשה לאחר תאונת דרכים מוערכים ע</w:t>
      </w:r>
      <w:r w:rsidRPr="00477512">
        <w:rPr>
          <w:rFonts w:hint="cs"/>
          <w:rtl/>
        </w:rPr>
        <w:t>ל ידי</w:t>
      </w:r>
      <w:r w:rsidRPr="00477512">
        <w:rPr>
          <w:rtl/>
        </w:rPr>
        <w:t xml:space="preserve"> שמאי הביטוח בשיעור של נזק קטן מ-60 </w:t>
      </w:r>
      <w:r w:rsidRPr="00477512">
        <w:rPr>
          <w:rFonts w:hint="cs"/>
          <w:rtl/>
        </w:rPr>
        <w:t xml:space="preserve">אחוזים </w:t>
      </w:r>
      <w:r w:rsidRPr="00477512">
        <w:rPr>
          <w:rtl/>
        </w:rPr>
        <w:t xml:space="preserve">מערך הרכב, במטרה שיהיה ניתן לסחור בהם לאחר שיקומם לטובת רווחי חברות הביטוח וסוחרי הרכב. </w:t>
      </w:r>
      <w:r w:rsidRPr="00477512">
        <w:rPr>
          <w:rFonts w:hint="cs"/>
          <w:rtl/>
        </w:rPr>
        <w:t>כלי רכב</w:t>
      </w:r>
      <w:r w:rsidRPr="00477512">
        <w:rPr>
          <w:rtl/>
        </w:rPr>
        <w:t xml:space="preserve"> אלו אינם מוגדרים כ"אובדן גמור"</w:t>
      </w:r>
      <w:r w:rsidRPr="00477512">
        <w:rPr>
          <w:rFonts w:hint="cs"/>
          <w:rtl/>
        </w:rPr>
        <w:t>,</w:t>
      </w:r>
      <w:r w:rsidRPr="00477512">
        <w:rPr>
          <w:rtl/>
        </w:rPr>
        <w:t xml:space="preserve"> בעוד </w:t>
      </w:r>
      <w:r w:rsidRPr="00477512">
        <w:rPr>
          <w:rFonts w:hint="cs"/>
          <w:rtl/>
        </w:rPr>
        <w:t xml:space="preserve">כלי </w:t>
      </w:r>
      <w:r w:rsidRPr="00477512">
        <w:rPr>
          <w:rtl/>
        </w:rPr>
        <w:t>רכב המוגדר "אובדן גמור" מושבת וניתן לפרקו מחלפיו ולהפקיד את רישיונו במשרד הרישוי</w:t>
      </w:r>
      <w:r w:rsidRPr="00477512">
        <w:rPr>
          <w:rFonts w:hint="cs"/>
          <w:rtl/>
        </w:rPr>
        <w:t>.</w:t>
      </w:r>
      <w:r w:rsidRPr="00477512">
        <w:rPr>
          <w:rtl/>
        </w:rPr>
        <w:t xml:space="preserve"> במקרה של "אובדן להלכה" קיימת האפשרות לחברת הביטוח לרכוש את הרכב ולמוכרו לאחר השיקום לסוחר, במטרה להעלותו מחדש על הכביש. תופעה זו של שיקום וסחר </w:t>
      </w:r>
      <w:r w:rsidRPr="00477512">
        <w:rPr>
          <w:rFonts w:hint="cs"/>
          <w:rtl/>
        </w:rPr>
        <w:t>כלי הרכב</w:t>
      </w:r>
      <w:r w:rsidRPr="00477512">
        <w:rPr>
          <w:rtl/>
        </w:rPr>
        <w:t xml:space="preserve"> שניזוקו באופן קשה</w:t>
      </w:r>
      <w:r w:rsidRPr="00477512">
        <w:rPr>
          <w:rFonts w:hint="cs"/>
          <w:rtl/>
        </w:rPr>
        <w:t xml:space="preserve"> היא</w:t>
      </w:r>
      <w:r w:rsidRPr="00477512">
        <w:rPr>
          <w:rtl/>
        </w:rPr>
        <w:t xml:space="preserve"> בעלת השלכות הרסניות על שלום הציבור </w:t>
      </w:r>
      <w:r w:rsidRPr="00477512">
        <w:rPr>
          <w:rFonts w:hint="cs"/>
          <w:rtl/>
        </w:rPr>
        <w:t>ו</w:t>
      </w:r>
      <w:r w:rsidRPr="00477512">
        <w:rPr>
          <w:rtl/>
        </w:rPr>
        <w:t xml:space="preserve">בטיחותו ובעלת השפעה ישירה על היקף הפשיעה במדינת ישראל. </w:t>
      </w:r>
      <w:r w:rsidRPr="00477512">
        <w:rPr>
          <w:rFonts w:hint="cs"/>
          <w:rtl/>
        </w:rPr>
        <w:t>כלי הרכב</w:t>
      </w:r>
      <w:r w:rsidRPr="00477512">
        <w:rPr>
          <w:rtl/>
        </w:rPr>
        <w:t xml:space="preserve"> שנקנים </w:t>
      </w:r>
      <w:r w:rsidRPr="00477512">
        <w:rPr>
          <w:rFonts w:hint="cs"/>
          <w:rtl/>
        </w:rPr>
        <w:t>על ידי</w:t>
      </w:r>
      <w:r w:rsidRPr="00477512">
        <w:rPr>
          <w:rtl/>
        </w:rPr>
        <w:t xml:space="preserve"> חברות הביטוח נשלחים לתיקון שתוצאותיו אינן הולמות את רמת הבטיחות הראויה ואת חוות דעת השמאי הראשון מטעם אותה חברת ביטוח, שהגדיר את צרכי התיקון ועלותו לאחר התאונה שגרמה לנזק, ונמכרים על ידי סוחרי רכב לצרכן שכלל אינו מודע לקרות התאונה, לשיעור הנזק ולליקויי הבטיחות הקיימים ברכב. פרקטיקה זו מהווה סכנה ממשית לחיי הנוסעים ברכב ולחיי שאר המשתמשים בכביש.  </w:t>
      </w:r>
    </w:p>
    <w:p w14:paraId="55B282F8" w14:textId="1F33B024" w:rsidR="006163B4" w:rsidRPr="00477512" w:rsidRDefault="006163B4" w:rsidP="006163B4">
      <w:pPr>
        <w:pStyle w:val="Hesber"/>
        <w:rPr>
          <w:rtl/>
        </w:rPr>
      </w:pPr>
      <w:r w:rsidRPr="00477512">
        <w:rPr>
          <w:rtl/>
        </w:rPr>
        <w:t xml:space="preserve">יתרה מכך, לעתים תיקון כלי רכב אלו מתבצע באמצעות שימוש בחלקים גנובים ומשומשים, במתקנים שאינם מורשים ואשר לרוב </w:t>
      </w:r>
      <w:r w:rsidRPr="00477512">
        <w:rPr>
          <w:rFonts w:hint="cs"/>
          <w:rtl/>
        </w:rPr>
        <w:t>נמצאים</w:t>
      </w:r>
      <w:r w:rsidRPr="00477512">
        <w:rPr>
          <w:rtl/>
        </w:rPr>
        <w:t xml:space="preserve"> בשטחי יהודה, שומרון וחבל עזה. יצוין, כי תיקון כלי רכב בשטחי הרשות הפלסטינית אסור גם לפי חוק הגבלת השימוש ורישום פעולות בחלקי רכב משומשים (מניעת גניבות), התשנ"ח–1998.</w:t>
      </w:r>
    </w:p>
    <w:p w14:paraId="3C574CC5" w14:textId="77777777" w:rsidR="006163B4" w:rsidRPr="00477512" w:rsidRDefault="006163B4" w:rsidP="006163B4">
      <w:pPr>
        <w:pStyle w:val="Hesber"/>
        <w:rPr>
          <w:rtl/>
        </w:rPr>
      </w:pPr>
      <w:r w:rsidRPr="00477512">
        <w:rPr>
          <w:rtl/>
        </w:rPr>
        <w:t xml:space="preserve">בהיבט הצרכני, הצרכן רוכש רכב שניזוק בתאונה קשה ושופץ באופן שתואר לעיל, בלי לדעת על כך </w:t>
      </w:r>
      <w:r w:rsidRPr="00477512">
        <w:rPr>
          <w:rtl/>
        </w:rPr>
        <w:lastRenderedPageBreak/>
        <w:t xml:space="preserve">כלל ובניגוד להוראות חוק מכירת רכב משומש (זכאות למידע וגילוי נאות), התשס"ח–2008. לעיתים מתגלה הבעיה כאשר הרוכש פונה לחברות ביטוח, וזו מודיעה לו כי רכבו לא יבוטח על ידה בשל נזק כבד שנגרם לו בעבר. בנוסף, מדובר בפגיעה קשה בבעלי </w:t>
      </w:r>
      <w:r w:rsidRPr="00477512">
        <w:rPr>
          <w:rFonts w:hint="cs"/>
          <w:rtl/>
        </w:rPr>
        <w:t>כלי רכב</w:t>
      </w:r>
      <w:r w:rsidRPr="00477512">
        <w:rPr>
          <w:rtl/>
        </w:rPr>
        <w:t xml:space="preserve"> בכלל, משום שהדרך השכיחה לספק חלקים משומשים לצורך שיקום רכבים המצויים במצב של "אבדן להלכה" היא באמצעות גניבות רכב לפי "הזמנה". בהיבט הפלילי, מדובר בהרחבת היקף הסחר הפלילי בחלקי חילוף גנובים וביצוע תיקונים במתקנים שאינם מורשים במקום במוסכים הפועלים כחוק.</w:t>
      </w:r>
    </w:p>
    <w:p w14:paraId="7C28F1E3" w14:textId="77777777" w:rsidR="006163B4" w:rsidRPr="00477512" w:rsidRDefault="006163B4" w:rsidP="006163B4">
      <w:pPr>
        <w:pStyle w:val="Hesber"/>
        <w:rPr>
          <w:rtl/>
        </w:rPr>
      </w:pPr>
      <w:r w:rsidRPr="00477512">
        <w:rPr>
          <w:rtl/>
        </w:rPr>
        <w:t xml:space="preserve">שיעור הנזק שנגרם לרכב </w:t>
      </w:r>
      <w:r w:rsidRPr="00477512">
        <w:rPr>
          <w:rFonts w:hint="cs"/>
          <w:rtl/>
        </w:rPr>
        <w:t>הוא</w:t>
      </w:r>
      <w:r w:rsidRPr="00477512">
        <w:rPr>
          <w:rtl/>
        </w:rPr>
        <w:t xml:space="preserve"> מידע בעל חשיבות רבה שיש לו השלכה על בטיחות הרכב ועל ערכו המסחרי; רכב ששיעור הנזק שלו גבוה</w:t>
      </w:r>
      <w:r w:rsidRPr="00477512">
        <w:rPr>
          <w:rFonts w:hint="cs"/>
          <w:rtl/>
        </w:rPr>
        <w:t>,</w:t>
      </w:r>
      <w:r w:rsidRPr="00477512">
        <w:rPr>
          <w:rtl/>
        </w:rPr>
        <w:t xml:space="preserve"> מחייב נקיטת צעדים אשר יבטיחו כי הרכב תוקן במקצועיות בהתאם להוראות היצרן. על מנת לאפשר פיקוח על רכבים שניזוקו באופן קשה, יש חשיבות לקבלת המידע על הנזק והגילוי לציבור; בדרך זו יהיה ניתן לפקח על חברות הביטוח הרוכשות רכב ב</w:t>
      </w:r>
      <w:r w:rsidRPr="00477512">
        <w:rPr>
          <w:rFonts w:hint="cs"/>
          <w:rtl/>
        </w:rPr>
        <w:t>-"</w:t>
      </w:r>
      <w:r w:rsidRPr="00477512">
        <w:rPr>
          <w:rtl/>
        </w:rPr>
        <w:t>אובדן להלכה</w:t>
      </w:r>
      <w:r w:rsidRPr="00477512">
        <w:rPr>
          <w:rFonts w:hint="cs"/>
          <w:rtl/>
        </w:rPr>
        <w:t xml:space="preserve">", </w:t>
      </w:r>
      <w:r w:rsidRPr="00477512">
        <w:rPr>
          <w:rtl/>
        </w:rPr>
        <w:t>לאפשר לצרכן לקבל החלטה מושכלת בדבר רכישת הרכב ולמנוע את המצב הנוכחי של תיקון לא מספק.</w:t>
      </w:r>
    </w:p>
    <w:p w14:paraId="49D486E1" w14:textId="5C11F668" w:rsidR="006163B4" w:rsidRDefault="006163B4" w:rsidP="006163B4">
      <w:pPr>
        <w:pStyle w:val="Hesber"/>
        <w:rPr>
          <w:rtl/>
        </w:rPr>
      </w:pPr>
      <w:r w:rsidRPr="00477512">
        <w:rPr>
          <w:rFonts w:hint="cs"/>
          <w:rtl/>
        </w:rPr>
        <w:t>לפיכך מוצע</w:t>
      </w:r>
      <w:r w:rsidRPr="00477512">
        <w:rPr>
          <w:rtl/>
        </w:rPr>
        <w:t xml:space="preserve"> לרשום ברישיון הרכב כי הרכב נמכר או נסחר עם נזק ע</w:t>
      </w:r>
      <w:r w:rsidRPr="00477512">
        <w:rPr>
          <w:rFonts w:hint="cs"/>
          <w:rtl/>
        </w:rPr>
        <w:t>ל ידי</w:t>
      </w:r>
      <w:r w:rsidRPr="00477512">
        <w:rPr>
          <w:rtl/>
        </w:rPr>
        <w:t xml:space="preserve"> חברת ביטוח או תאגיד שבבעלותו 25 כלי רכב והוא עוסק בסחר רכבים וחלפים. יודגש </w:t>
      </w:r>
      <w:r w:rsidRPr="00477512">
        <w:rPr>
          <w:rFonts w:hint="cs"/>
          <w:rtl/>
        </w:rPr>
        <w:t>ש</w:t>
      </w:r>
      <w:r w:rsidRPr="00477512">
        <w:rPr>
          <w:rtl/>
        </w:rPr>
        <w:t xml:space="preserve">הוראת נוהל מס' 22 מיום 22.12.2011 של משרד התחבורה </w:t>
      </w:r>
      <w:r w:rsidRPr="00477512">
        <w:rPr>
          <w:rFonts w:hint="cs"/>
          <w:rtl/>
        </w:rPr>
        <w:t xml:space="preserve">והבטיחות בדרכים </w:t>
      </w:r>
      <w:r w:rsidRPr="00477512">
        <w:rPr>
          <w:rtl/>
        </w:rPr>
        <w:t xml:space="preserve">ניסתה לתקן עיוות זה, אולם נוהל זה בוטל וברישיון הרכב אין אזכור כי הרכב עבר תאונת דרכים קשה ושופץ והוא מוצג למכירה כרכב חדש. </w:t>
      </w:r>
    </w:p>
    <w:p w14:paraId="3826D1D1" w14:textId="097C19EA" w:rsidR="006163B4" w:rsidRPr="00477512" w:rsidRDefault="006163B4" w:rsidP="00B508A6">
      <w:pPr>
        <w:pStyle w:val="Hesber"/>
        <w:rPr>
          <w:rtl/>
        </w:rPr>
      </w:pPr>
      <w:r>
        <w:rPr>
          <w:rFonts w:hint="cs"/>
          <w:rtl/>
        </w:rPr>
        <w:t>הצעת חוק זהה הונחה על שולחן הכנסת העשרים על ידי חבר הכנסת אורי מקלב וקבוצת חברי הכנסת (פ/</w:t>
      </w:r>
      <w:r w:rsidR="00B508A6">
        <w:rPr>
          <w:rFonts w:hint="cs"/>
          <w:rtl/>
        </w:rPr>
        <w:t>2404</w:t>
      </w:r>
      <w:r>
        <w:rPr>
          <w:rFonts w:hint="cs"/>
          <w:rtl/>
        </w:rPr>
        <w:t>/20).</w:t>
      </w:r>
    </w:p>
    <w:p w14:paraId="7F6961CB" w14:textId="77777777" w:rsidR="00E13C27" w:rsidRDefault="00E13C27" w:rsidP="00E13C27">
      <w:pPr>
        <w:pStyle w:val="Hesber"/>
        <w:rPr>
          <w:rtl/>
        </w:rPr>
      </w:pPr>
    </w:p>
    <w:p w14:paraId="60D8746F" w14:textId="77777777" w:rsidR="00590264" w:rsidRDefault="0039229F">
      <w:pPr>
        <w:spacing w:before="0" w:line="360" w:lineRule="auto"/>
        <w:jc w:val="left"/>
      </w:pPr>
      <w:bookmarkStart w:id="9" w:name="selectedDocDateB"/>
      <w:bookmarkEnd w:id="9"/>
      <w:r>
        <w:rPr>
          <w:rFonts w:ascii="David" w:eastAsia="David" w:hAnsi="David" w:cs="David" w:hint="cs"/>
          <w:sz w:val="26"/>
          <w:szCs w:val="26"/>
          <w:rtl/>
        </w:rPr>
        <w:t>--------------------------------</w:t>
      </w:r>
    </w:p>
    <w:p w14:paraId="6AF7AFE5" w14:textId="77777777" w:rsidR="00590264" w:rsidRDefault="0039229F">
      <w:pPr>
        <w:spacing w:before="0" w:line="360" w:lineRule="auto"/>
        <w:jc w:val="left"/>
      </w:pPr>
      <w:r>
        <w:rPr>
          <w:rFonts w:ascii="David" w:eastAsia="David" w:hAnsi="David" w:cs="David" w:hint="cs"/>
          <w:sz w:val="26"/>
          <w:szCs w:val="26"/>
          <w:rtl/>
        </w:rPr>
        <w:t>הוגשה ליו"ר הכנסת והסגנים</w:t>
      </w:r>
    </w:p>
    <w:p w14:paraId="3B23E1C6" w14:textId="77777777" w:rsidR="00590264" w:rsidRDefault="0039229F">
      <w:pPr>
        <w:spacing w:before="0" w:line="360" w:lineRule="auto"/>
        <w:jc w:val="left"/>
      </w:pPr>
      <w:r>
        <w:rPr>
          <w:rFonts w:ascii="David" w:eastAsia="David" w:hAnsi="David" w:cs="David" w:hint="cs"/>
          <w:sz w:val="26"/>
          <w:szCs w:val="26"/>
          <w:rtl/>
        </w:rPr>
        <w:t>והונחה על שולחן הכנסת ביום</w:t>
      </w:r>
    </w:p>
    <w:p w14:paraId="6A992CE3" w14:textId="77777777" w:rsidR="00590264" w:rsidRDefault="0039229F">
      <w:pPr>
        <w:spacing w:before="0" w:line="360" w:lineRule="auto"/>
        <w:jc w:val="left"/>
      </w:pPr>
      <w:r>
        <w:rPr>
          <w:rFonts w:ascii="David" w:eastAsia="David" w:hAnsi="David" w:cs="David" w:hint="cs"/>
          <w:sz w:val="26"/>
          <w:szCs w:val="26"/>
          <w:rtl/>
        </w:rPr>
        <w:t xml:space="preserve">ד' באדר ב' התשפ"ב (07.03.2022) </w:t>
      </w:r>
    </w:p>
    <w:p w14:paraId="5DDF76AB" w14:textId="77777777" w:rsidR="00590264" w:rsidRDefault="00590264">
      <w:pPr>
        <w:spacing w:before="0" w:line="276" w:lineRule="auto"/>
        <w:jc w:val="left"/>
      </w:pPr>
    </w:p>
    <w:sectPr w:rsidR="00590264"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5F248511"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9229F">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947317D" w14:textId="77777777" w:rsidR="006163B4" w:rsidRDefault="006163B4" w:rsidP="006163B4">
      <w:pPr>
        <w:pStyle w:val="a4"/>
        <w:rPr>
          <w:rtl/>
        </w:rPr>
      </w:pPr>
      <w:r>
        <w:rPr>
          <w:rStyle w:val="a5"/>
        </w:rPr>
        <w:footnoteRef/>
      </w:r>
      <w:r>
        <w:rPr>
          <w:rtl/>
        </w:rPr>
        <w:t xml:space="preserve"> </w:t>
      </w:r>
      <w:r>
        <w:rPr>
          <w:rFonts w:hint="cs"/>
          <w:rtl/>
        </w:rPr>
        <w:t>ס"ח התשמ"א, עמ' 208.</w:t>
      </w:r>
    </w:p>
  </w:footnote>
  <w:footnote w:id="3">
    <w:p w14:paraId="3B427AC0" w14:textId="77777777" w:rsidR="006163B4" w:rsidRDefault="006163B4" w:rsidP="006163B4">
      <w:pPr>
        <w:pStyle w:val="a4"/>
        <w:rPr>
          <w:rtl/>
        </w:rPr>
      </w:pPr>
      <w:r>
        <w:rPr>
          <w:rStyle w:val="a5"/>
        </w:rPr>
        <w:footnoteRef/>
      </w:r>
      <w:r>
        <w:rPr>
          <w:rtl/>
        </w:rPr>
        <w:t xml:space="preserve"> </w:t>
      </w:r>
      <w:r>
        <w:rPr>
          <w:rFonts w:hint="cs"/>
          <w:rtl/>
        </w:rPr>
        <w:t>ס"ח התשנ"ח, עמ' 290.</w:t>
      </w:r>
    </w:p>
  </w:footnote>
  <w:footnote w:id="4">
    <w:p w14:paraId="006BF8C9" w14:textId="77777777" w:rsidR="006163B4" w:rsidRDefault="006163B4" w:rsidP="006163B4">
      <w:pPr>
        <w:pStyle w:val="a4"/>
        <w:rPr>
          <w:rtl/>
        </w:rPr>
      </w:pPr>
      <w:r>
        <w:rPr>
          <w:rStyle w:val="a5"/>
        </w:rPr>
        <w:footnoteRef/>
      </w:r>
      <w:r>
        <w:rPr>
          <w:rtl/>
        </w:rPr>
        <w:t xml:space="preserve"> </w:t>
      </w:r>
      <w:r>
        <w:rPr>
          <w:rFonts w:hint="cs"/>
          <w:rtl/>
        </w:rPr>
        <w:t>ס"ח התשס"ח, עמ' 816.</w:t>
      </w:r>
    </w:p>
  </w:footnote>
  <w:footnote w:id="5">
    <w:p w14:paraId="4933F31D" w14:textId="77777777" w:rsidR="006163B4" w:rsidRDefault="006163B4" w:rsidP="006163B4">
      <w:pPr>
        <w:pStyle w:val="a4"/>
        <w:rPr>
          <w:rtl/>
        </w:rPr>
      </w:pPr>
      <w:r>
        <w:rPr>
          <w:rStyle w:val="a5"/>
        </w:rPr>
        <w:footnoteRef/>
      </w:r>
      <w:r>
        <w:rPr>
          <w:rtl/>
        </w:rPr>
        <w:t xml:space="preserve"> </w:t>
      </w:r>
      <w:r>
        <w:rPr>
          <w:rFonts w:hint="cs"/>
          <w:rtl/>
        </w:rPr>
        <w:t>דיני מדינת ישראל, נוסח חדש 7, עמ' 173.</w:t>
      </w:r>
    </w:p>
  </w:footnote>
  <w:footnote w:id="6">
    <w:p w14:paraId="69026CEF" w14:textId="77777777" w:rsidR="006163B4" w:rsidRDefault="006163B4" w:rsidP="006163B4">
      <w:pPr>
        <w:pStyle w:val="a4"/>
      </w:pPr>
      <w:r>
        <w:rPr>
          <w:rStyle w:val="a5"/>
        </w:rPr>
        <w:footnoteRef/>
      </w:r>
      <w:r>
        <w:rPr>
          <w:rtl/>
        </w:rPr>
        <w:t xml:space="preserve"> </w:t>
      </w:r>
      <w:r>
        <w:rPr>
          <w:rFonts w:hint="cs"/>
          <w:rtl/>
        </w:rPr>
        <w:t xml:space="preserve">ס"ח התשל"ז, עמ' 226.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867B3"/>
    <w:rsid w:val="000A542E"/>
    <w:rsid w:val="00102B6B"/>
    <w:rsid w:val="001052D4"/>
    <w:rsid w:val="0010644B"/>
    <w:rsid w:val="001207F8"/>
    <w:rsid w:val="00121924"/>
    <w:rsid w:val="001279A8"/>
    <w:rsid w:val="0014195F"/>
    <w:rsid w:val="00152609"/>
    <w:rsid w:val="00153E1B"/>
    <w:rsid w:val="001A0623"/>
    <w:rsid w:val="001C23B0"/>
    <w:rsid w:val="001D7AAF"/>
    <w:rsid w:val="0020162E"/>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229F"/>
    <w:rsid w:val="00396585"/>
    <w:rsid w:val="003D6E38"/>
    <w:rsid w:val="003D74A0"/>
    <w:rsid w:val="004033D8"/>
    <w:rsid w:val="004073F0"/>
    <w:rsid w:val="00412A7D"/>
    <w:rsid w:val="00416B4D"/>
    <w:rsid w:val="00417CFC"/>
    <w:rsid w:val="004A06DC"/>
    <w:rsid w:val="004B24ED"/>
    <w:rsid w:val="004B6625"/>
    <w:rsid w:val="004C4395"/>
    <w:rsid w:val="004D2D82"/>
    <w:rsid w:val="004D3876"/>
    <w:rsid w:val="004E4552"/>
    <w:rsid w:val="004E6CDF"/>
    <w:rsid w:val="00553C9D"/>
    <w:rsid w:val="00562A66"/>
    <w:rsid w:val="00590264"/>
    <w:rsid w:val="005B064E"/>
    <w:rsid w:val="005D51AE"/>
    <w:rsid w:val="006163B4"/>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508A6"/>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8E56F24B-9603-4F43-860B-69B08076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default">
    <w:name w:val="default"/>
    <w:basedOn w:val="a0"/>
    <w:rsid w:val="006163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869BF75-4717-4746-A9BB-25D10B0C3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B51DDD68-7D91-4248-B6FD-C193C157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777</Words>
  <Characters>3887</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2022-03-01T07:28:00Z</cp:lastPrinted>
  <dcterms:created xsi:type="dcterms:W3CDTF">2015-04-20T09:58:00Z</dcterms:created>
  <dcterms:modified xsi:type="dcterms:W3CDTF">2022-03-03T07:13:00Z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2190345</vt:r8>
  </property>
</Properties>
</file>